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3" w:rsidRPr="003D0BE3" w:rsidRDefault="003D0BE3" w:rsidP="003D0BE3">
      <w:pPr>
        <w:spacing w:after="200" w:line="276" w:lineRule="auto"/>
        <w:rPr>
          <w:rFonts w:asciiTheme="majorHAnsi" w:eastAsiaTheme="minorEastAsia" w:hAnsiTheme="majorHAnsi" w:cs="Arial"/>
          <w:color w:val="1F497D" w:themeColor="text2"/>
          <w:sz w:val="26"/>
          <w:szCs w:val="26"/>
          <w:lang w:eastAsia="zh-CN"/>
        </w:rPr>
      </w:pPr>
      <w:r w:rsidRPr="003D0BE3">
        <w:rPr>
          <w:rFonts w:asciiTheme="majorHAnsi" w:hAnsiTheme="majorHAnsi" w:cs="Tahoma"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3825EF0C" wp14:editId="225072E8">
            <wp:simplePos x="0" y="0"/>
            <wp:positionH relativeFrom="column">
              <wp:posOffset>3108960</wp:posOffset>
            </wp:positionH>
            <wp:positionV relativeFrom="paragraph">
              <wp:posOffset>-187325</wp:posOffset>
            </wp:positionV>
            <wp:extent cx="742950" cy="738505"/>
            <wp:effectExtent l="0" t="0" r="0" b="4445"/>
            <wp:wrapTight wrapText="bothSides">
              <wp:wrapPolygon edited="0">
                <wp:start x="0" y="0"/>
                <wp:lineTo x="0" y="21173"/>
                <wp:lineTo x="21046" y="21173"/>
                <wp:lineTo x="210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BE3">
        <w:rPr>
          <w:rFonts w:asciiTheme="majorHAnsi" w:hAnsiTheme="majorHAnsi" w:cs="Tahoma"/>
          <w:noProof/>
          <w:color w:val="1F497D" w:themeColor="text2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354F611" wp14:editId="6D709E19">
            <wp:simplePos x="0" y="0"/>
            <wp:positionH relativeFrom="column">
              <wp:posOffset>1555750</wp:posOffset>
            </wp:positionH>
            <wp:positionV relativeFrom="paragraph">
              <wp:posOffset>-234950</wp:posOffset>
            </wp:positionV>
            <wp:extent cx="813435" cy="881380"/>
            <wp:effectExtent l="0" t="0" r="5715" b="0"/>
            <wp:wrapNone/>
            <wp:docPr id="2" name="Рисунок 2" descr="Описание: exportn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xportn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3" w:rsidRPr="003D0BE3" w:rsidRDefault="003D0BE3" w:rsidP="003D0BE3">
      <w:pPr>
        <w:spacing w:after="200" w:line="276" w:lineRule="auto"/>
        <w:rPr>
          <w:rFonts w:asciiTheme="majorHAnsi" w:eastAsiaTheme="minorEastAsia" w:hAnsiTheme="majorHAnsi" w:cs="Arial"/>
          <w:color w:val="1F497D" w:themeColor="text2"/>
          <w:sz w:val="26"/>
          <w:szCs w:val="26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</w:pP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  <w:t>«</w:t>
      </w: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Центр развития </w:t>
      </w:r>
      <w:proofErr w:type="spellStart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>экспортного</w:t>
      </w:r>
      <w:proofErr w:type="spellEnd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 </w:t>
      </w:r>
      <w:proofErr w:type="spellStart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>потенциала</w:t>
      </w:r>
      <w:proofErr w:type="spellEnd"/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val="de-DE" w:eastAsia="zh-CN"/>
        </w:rPr>
        <w:t xml:space="preserve"> Нижегородской области</w:t>
      </w:r>
      <w:r w:rsidRPr="003D0BE3">
        <w:rPr>
          <w:rFonts w:asciiTheme="majorHAnsi" w:eastAsiaTheme="minorEastAsia" w:hAnsiTheme="majorHAnsi" w:cs="Arial"/>
          <w:b/>
          <w:color w:val="1F497D" w:themeColor="text2"/>
          <w:sz w:val="26"/>
          <w:szCs w:val="26"/>
          <w:lang w:eastAsia="zh-CN"/>
        </w:rPr>
        <w:t>»</w:t>
      </w:r>
    </w:p>
    <w:p w:rsidR="003D0BE3" w:rsidRPr="003D0BE3" w:rsidRDefault="003D0BE3" w:rsidP="003D0BE3">
      <w:pPr>
        <w:spacing w:after="200"/>
        <w:contextualSpacing/>
        <w:jc w:val="center"/>
        <w:rPr>
          <w:rFonts w:asciiTheme="minorHAnsi" w:eastAsiaTheme="minorEastAsia" w:hAnsiTheme="minorHAnsi" w:cstheme="minorBidi"/>
          <w:b/>
          <w:color w:val="auto"/>
          <w:sz w:val="10"/>
          <w:szCs w:val="10"/>
          <w:lang w:eastAsia="zh-CN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hAnsiTheme="majorHAnsi" w:cs="Tahoma"/>
          <w:color w:val="auto"/>
          <w:sz w:val="22"/>
          <w:szCs w:val="22"/>
        </w:rPr>
      </w:pPr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 xml:space="preserve">в </w:t>
      </w:r>
      <w:proofErr w:type="gramStart"/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>рамках</w:t>
      </w:r>
      <w:proofErr w:type="gramEnd"/>
      <w:r w:rsidRPr="003D0BE3">
        <w:rPr>
          <w:rFonts w:asciiTheme="majorHAnsi" w:eastAsiaTheme="minorEastAsia" w:hAnsiTheme="majorHAnsi" w:cs="Arial"/>
          <w:color w:val="auto"/>
          <w:sz w:val="22"/>
          <w:szCs w:val="22"/>
          <w:lang w:eastAsia="zh-CN"/>
        </w:rPr>
        <w:t xml:space="preserve"> реализации регионального проекта «Акселерация субъектов малого и среднего предпринимательства» на территории Нижегородской области» и</w:t>
      </w: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10"/>
          <w:szCs w:val="10"/>
        </w:rPr>
      </w:pP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26"/>
          <w:szCs w:val="26"/>
        </w:rPr>
      </w:pP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«</w:t>
      </w:r>
      <w:r w:rsidRPr="003D0BE3">
        <w:rPr>
          <w:rFonts w:asciiTheme="majorHAnsi" w:hAnsiTheme="majorHAnsi"/>
          <w:b/>
          <w:color w:val="1F497D" w:themeColor="text2"/>
          <w:sz w:val="26"/>
          <w:szCs w:val="26"/>
        </w:rPr>
        <w:t xml:space="preserve">Центр Бизнес Практики </w:t>
      </w: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«</w:t>
      </w:r>
      <w:r w:rsidRPr="003D0BE3">
        <w:rPr>
          <w:rFonts w:asciiTheme="majorHAnsi" w:hAnsiTheme="majorHAnsi"/>
          <w:b/>
          <w:color w:val="1F497D" w:themeColor="text2"/>
          <w:sz w:val="26"/>
          <w:szCs w:val="26"/>
        </w:rPr>
        <w:t>Лидер</w:t>
      </w:r>
      <w:r w:rsidRPr="003D0BE3">
        <w:rPr>
          <w:rFonts w:asciiTheme="majorHAnsi" w:hAnsiTheme="majorHAnsi" w:cs="Tahoma"/>
          <w:b/>
          <w:color w:val="1F497D" w:themeColor="text2"/>
          <w:sz w:val="26"/>
          <w:szCs w:val="26"/>
        </w:rPr>
        <w:t>»</w:t>
      </w:r>
    </w:p>
    <w:p w:rsidR="003D0BE3" w:rsidRPr="003D0BE3" w:rsidRDefault="003D0BE3" w:rsidP="003D0BE3">
      <w:pPr>
        <w:contextualSpacing/>
        <w:jc w:val="center"/>
        <w:rPr>
          <w:rFonts w:asciiTheme="majorHAnsi" w:hAnsiTheme="majorHAnsi" w:cs="Tahoma"/>
          <w:b/>
          <w:color w:val="1F497D" w:themeColor="text2"/>
          <w:sz w:val="16"/>
          <w:szCs w:val="16"/>
        </w:rPr>
      </w:pP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</w:pPr>
      <w:r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 xml:space="preserve">проводят </w:t>
      </w:r>
      <w:r w:rsidRPr="003D0BE3"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БИЗНЕС-МИССИ</w:t>
      </w:r>
      <w:r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Ю</w:t>
      </w: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</w:pPr>
      <w:r w:rsidRPr="003D0BE3">
        <w:rPr>
          <w:rFonts w:asciiTheme="majorHAnsi" w:eastAsiaTheme="minorEastAsia" w:hAnsiTheme="majorHAnsi" w:cstheme="minorBidi"/>
          <w:color w:val="auto"/>
          <w:sz w:val="26"/>
          <w:szCs w:val="26"/>
          <w:lang w:eastAsia="zh-CN"/>
        </w:rPr>
        <w:t>экспортно-ориентированных компаний Нижегородской области</w:t>
      </w:r>
    </w:p>
    <w:p w:rsidR="003D0BE3" w:rsidRPr="00CC56F4" w:rsidRDefault="003D0BE3" w:rsidP="003D0BE3">
      <w:pPr>
        <w:spacing w:after="200"/>
        <w:contextualSpacing/>
        <w:jc w:val="center"/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</w:pPr>
      <w:r w:rsidRPr="00CC56F4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в Турецкую Республику</w:t>
      </w:r>
      <w:r w:rsidR="00CC56F4" w:rsidRPr="00CC56F4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 xml:space="preserve"> (г. Стамбул, </w:t>
      </w:r>
      <w:proofErr w:type="spellStart"/>
      <w:r w:rsidR="00CC56F4" w:rsidRPr="00CC56F4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Коджаэли</w:t>
      </w:r>
      <w:proofErr w:type="spellEnd"/>
      <w:r w:rsidR="00CC56F4" w:rsidRPr="00CC56F4">
        <w:rPr>
          <w:rFonts w:asciiTheme="majorHAnsi" w:eastAsiaTheme="minorEastAsia" w:hAnsiTheme="majorHAnsi" w:cstheme="minorBidi"/>
          <w:color w:val="1F497D" w:themeColor="text2"/>
          <w:sz w:val="26"/>
          <w:szCs w:val="26"/>
          <w:lang w:eastAsia="zh-CN"/>
        </w:rPr>
        <w:t>)</w:t>
      </w:r>
    </w:p>
    <w:p w:rsidR="003D0BE3" w:rsidRPr="003D0BE3" w:rsidRDefault="003D0BE3" w:rsidP="003D0BE3">
      <w:pPr>
        <w:spacing w:after="200"/>
        <w:contextualSpacing/>
        <w:jc w:val="center"/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</w:pPr>
      <w:r w:rsidRPr="00CC56F4">
        <w:rPr>
          <w:rFonts w:asciiTheme="majorHAnsi" w:eastAsia="Times New Roman" w:hAnsiTheme="majorHAnsi" w:cs="Arial"/>
          <w:color w:val="1F497D" w:themeColor="text2"/>
          <w:sz w:val="26"/>
          <w:szCs w:val="26"/>
          <w:lang w:eastAsia="ru-RU"/>
        </w:rPr>
        <w:t>5 - 9 ноября 2019 года</w:t>
      </w:r>
    </w:p>
    <w:p w:rsidR="001A7AF8" w:rsidRDefault="001A7AF8" w:rsidP="003D0BE3">
      <w:pPr>
        <w:tabs>
          <w:tab w:val="left" w:pos="567"/>
        </w:tabs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</w:pPr>
      <w:bookmarkStart w:id="0" w:name="_GoBack"/>
      <w:bookmarkEnd w:id="0"/>
    </w:p>
    <w:p w:rsidR="003D0BE3" w:rsidRDefault="003D0BE3" w:rsidP="003D0BE3">
      <w:pPr>
        <w:tabs>
          <w:tab w:val="left" w:pos="567"/>
        </w:tabs>
        <w:jc w:val="center"/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</w:pPr>
      <w:r w:rsidRPr="003D0BE3">
        <w:rPr>
          <w:rFonts w:asciiTheme="majorHAnsi" w:eastAsia="Times New Roman" w:hAnsiTheme="majorHAnsi" w:cs="Arial"/>
          <w:b/>
          <w:color w:val="1F497D" w:themeColor="text2"/>
          <w:sz w:val="26"/>
          <w:szCs w:val="26"/>
          <w:lang w:eastAsia="ru-RU"/>
        </w:rPr>
        <w:t>ЗАЯВКА НА УЧАСТИЕ</w:t>
      </w:r>
    </w:p>
    <w:p w:rsid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</w:p>
    <w:p w:rsid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 xml:space="preserve">Директору ГАУ «Центр развития </w:t>
      </w:r>
    </w:p>
    <w:p w:rsidR="00C14A3F" w:rsidRPr="00C14A3F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>экспортного потенциала Нижегородской области»</w:t>
      </w:r>
    </w:p>
    <w:p w:rsidR="00C14A3F" w:rsidRPr="003D0BE3" w:rsidRDefault="00C14A3F" w:rsidP="00C14A3F">
      <w:pPr>
        <w:tabs>
          <w:tab w:val="left" w:pos="567"/>
        </w:tabs>
        <w:jc w:val="right"/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</w:pPr>
      <w:proofErr w:type="spellStart"/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>Звонкову</w:t>
      </w:r>
      <w:proofErr w:type="spellEnd"/>
      <w:r w:rsidRPr="00C14A3F">
        <w:rPr>
          <w:rFonts w:asciiTheme="majorHAnsi" w:eastAsia="Times New Roman" w:hAnsiTheme="majorHAnsi" w:cs="Arial"/>
          <w:color w:val="auto"/>
          <w:sz w:val="26"/>
          <w:szCs w:val="26"/>
          <w:lang w:eastAsia="ru-RU"/>
        </w:rPr>
        <w:t xml:space="preserve"> С.В.</w:t>
      </w:r>
    </w:p>
    <w:p w:rsidR="00A701DD" w:rsidRDefault="00CC56F4"/>
    <w:p w:rsidR="003D0BE3" w:rsidRDefault="003D0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CA18A2" w:rsidRPr="003D0BE3" w:rsidTr="003D0BE3">
        <w:tc>
          <w:tcPr>
            <w:tcW w:w="3936" w:type="dxa"/>
          </w:tcPr>
          <w:p w:rsidR="00CA18A2" w:rsidRPr="003D0BE3" w:rsidRDefault="00CA18A2" w:rsidP="00C14A3F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Полное на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именование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предприятия</w:t>
            </w:r>
            <w:r w:rsidR="00C14A3F">
              <w:rPr>
                <w:rFonts w:asciiTheme="majorHAnsi" w:hAnsiTheme="majorHAnsi"/>
                <w:color w:val="auto"/>
                <w:sz w:val="22"/>
                <w:szCs w:val="22"/>
              </w:rPr>
              <w:t>, включая организационно-правовую форму, ИНН, с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айт компании.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3D0BE3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Подробное описание продукта для экспорта (товар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ы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/услуги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, код ТНВЭД</w:t>
            </w: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), конкурентные преимущества вашего продукта.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Default="003D0BE3" w:rsidP="003D0BE3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Кого Вы ищете:</w:t>
            </w:r>
          </w:p>
          <w:p w:rsidR="003D0BE3" w:rsidRPr="00C14A3F" w:rsidRDefault="003D0BE3" w:rsidP="00C14A3F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14A3F">
              <w:rPr>
                <w:rFonts w:asciiTheme="majorHAnsi" w:hAnsiTheme="majorHAnsi"/>
                <w:color w:val="auto"/>
                <w:sz w:val="22"/>
                <w:szCs w:val="22"/>
              </w:rPr>
              <w:t>Конечного покупателя вашей продукции</w:t>
            </w:r>
          </w:p>
          <w:p w:rsidR="003D0BE3" w:rsidRPr="00C14A3F" w:rsidRDefault="003D0BE3" w:rsidP="00C14A3F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14A3F">
              <w:rPr>
                <w:rFonts w:asciiTheme="majorHAnsi" w:hAnsiTheme="majorHAnsi"/>
                <w:color w:val="auto"/>
                <w:sz w:val="22"/>
                <w:szCs w:val="22"/>
              </w:rPr>
              <w:t>Дистрибьютора/дилера вашей продукции</w:t>
            </w:r>
          </w:p>
          <w:p w:rsidR="003D0BE3" w:rsidRPr="00C14A3F" w:rsidRDefault="003D0BE3" w:rsidP="00C14A3F">
            <w:pPr>
              <w:pStyle w:val="a4"/>
              <w:numPr>
                <w:ilvl w:val="0"/>
                <w:numId w:val="3"/>
              </w:num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C14A3F">
              <w:rPr>
                <w:rFonts w:asciiTheme="majorHAnsi" w:hAnsiTheme="majorHAnsi"/>
                <w:color w:val="auto"/>
                <w:sz w:val="22"/>
                <w:szCs w:val="22"/>
              </w:rPr>
              <w:t>Другое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3D0BE3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Если Вы знаете конкретные турецкие компании, с которыми Вы хотели бы встретиться, назовите их, пожалуйста.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1A7AF8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/>
                <w:color w:val="auto"/>
                <w:sz w:val="22"/>
                <w:szCs w:val="22"/>
              </w:rPr>
              <w:t>Участни</w:t>
            </w:r>
            <w:proofErr w:type="gramStart"/>
            <w:r>
              <w:rPr>
                <w:rFonts w:asciiTheme="majorHAnsi" w:hAnsiTheme="majorHAnsi"/>
                <w:color w:val="auto"/>
                <w:sz w:val="22"/>
                <w:szCs w:val="22"/>
              </w:rPr>
              <w:t>к(</w:t>
            </w:r>
            <w:proofErr w:type="gramEnd"/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>и</w:t>
            </w:r>
            <w:r>
              <w:rPr>
                <w:rFonts w:asciiTheme="majorHAnsi" w:hAnsiTheme="majorHAnsi"/>
                <w:color w:val="auto"/>
                <w:sz w:val="22"/>
                <w:szCs w:val="22"/>
              </w:rPr>
              <w:t>)</w:t>
            </w:r>
            <w:r w:rsidR="003D0BE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бизнес-миссии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Должность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Мобильный телефон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Рабочий телефон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A18A2" w:rsidRPr="003D0BE3" w:rsidTr="003D0BE3">
        <w:tc>
          <w:tcPr>
            <w:tcW w:w="3936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3D0BE3">
              <w:rPr>
                <w:rFonts w:asciiTheme="majorHAnsi" w:hAnsiTheme="majorHAnsi"/>
                <w:color w:val="auto"/>
                <w:sz w:val="22"/>
                <w:szCs w:val="22"/>
              </w:rPr>
              <w:t>Электронная почта</w:t>
            </w:r>
          </w:p>
        </w:tc>
        <w:tc>
          <w:tcPr>
            <w:tcW w:w="5635" w:type="dxa"/>
          </w:tcPr>
          <w:p w:rsidR="00CA18A2" w:rsidRPr="003D0BE3" w:rsidRDefault="00CA18A2" w:rsidP="0066252B">
            <w:pPr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</w:tbl>
    <w:p w:rsidR="00CA18A2" w:rsidRDefault="00CA18A2"/>
    <w:p w:rsidR="00CA18A2" w:rsidRDefault="00CA18A2"/>
    <w:p w:rsidR="00CA18A2" w:rsidRDefault="00C14A3F">
      <w:pPr>
        <w:rPr>
          <w:rFonts w:asciiTheme="majorHAnsi" w:hAnsiTheme="majorHAnsi"/>
          <w:color w:val="auto"/>
          <w:sz w:val="22"/>
          <w:szCs w:val="22"/>
        </w:rPr>
      </w:pPr>
      <w:r w:rsidRPr="001A7AF8">
        <w:rPr>
          <w:rFonts w:asciiTheme="majorHAnsi" w:hAnsiTheme="majorHAnsi"/>
          <w:color w:val="auto"/>
          <w:sz w:val="22"/>
          <w:szCs w:val="22"/>
        </w:rPr>
        <w:t>Подпись руководителя предприятия</w:t>
      </w:r>
    </w:p>
    <w:p w:rsidR="001A7AF8" w:rsidRPr="001A7AF8" w:rsidRDefault="001A7AF8">
      <w:p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МП</w:t>
      </w:r>
    </w:p>
    <w:sectPr w:rsidR="001A7AF8" w:rsidRPr="001A7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819"/>
    <w:multiLevelType w:val="hybridMultilevel"/>
    <w:tmpl w:val="730E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1B15"/>
    <w:multiLevelType w:val="hybridMultilevel"/>
    <w:tmpl w:val="64186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13AA6"/>
    <w:multiLevelType w:val="hybridMultilevel"/>
    <w:tmpl w:val="6A62BB7C"/>
    <w:lvl w:ilvl="0" w:tplc="352A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2"/>
    <w:rsid w:val="001A7AF8"/>
    <w:rsid w:val="003D0BE3"/>
    <w:rsid w:val="009605B4"/>
    <w:rsid w:val="00C14A3F"/>
    <w:rsid w:val="00C14BD9"/>
    <w:rsid w:val="00CA18A2"/>
    <w:rsid w:val="00C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2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A2"/>
    <w:pPr>
      <w:spacing w:after="0" w:line="240" w:lineRule="auto"/>
    </w:pPr>
    <w:rPr>
      <w:rFonts w:ascii="Tahoma" w:eastAsia="MS Mincho" w:hAnsi="Tahoma" w:cs="Times New Roman"/>
      <w:color w:val="003366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A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Галина Павловна</dc:creator>
  <cp:lastModifiedBy>Кудрявцева Галина Павловна</cp:lastModifiedBy>
  <cp:revision>3</cp:revision>
  <dcterms:created xsi:type="dcterms:W3CDTF">2019-10-02T09:57:00Z</dcterms:created>
  <dcterms:modified xsi:type="dcterms:W3CDTF">2019-10-02T10:59:00Z</dcterms:modified>
</cp:coreProperties>
</file>